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AA2FCF" w:rsidRPr="00AA2FCF" w:rsidTr="00AA2FCF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BỘ XÂY DỰNG</w:t>
            </w: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CỘNG HÒA XÃ HỘI CHỦ NGHĨA VIỆT NAM</w:t>
            </w: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  <w:t>Độc lập - Tự do - Hạnh phúc</w:t>
            </w: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  <w:t>---------------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Số: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/2019/TT-BXD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Hà Nội, ngày </w:t>
            </w:r>
            <w:r w:rsidRPr="00AA2F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10</w:t>
            </w:r>
            <w:r w:rsidRPr="00AA2F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tháng </w:t>
            </w:r>
            <w:r w:rsidRPr="00AA2F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10</w:t>
            </w:r>
            <w:r w:rsidRPr="00AA2F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năm </w:t>
            </w:r>
            <w:r w:rsidRPr="00AA2F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2019</w:t>
            </w:r>
          </w:p>
        </w:tc>
      </w:tr>
    </w:tbl>
    <w:p w:rsidR="00AA2FCF" w:rsidRPr="00AA2FCF" w:rsidRDefault="00AA2FCF" w:rsidP="00AA2FCF">
      <w:pPr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A2FC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A2FCF" w:rsidRPr="00AA2FCF" w:rsidRDefault="00AA2FCF" w:rsidP="00AA2FCF">
      <w:pPr>
        <w:spacing w:after="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loai_1"/>
      <w:r w:rsidRPr="00AA2F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THÔNG TƯ</w:t>
      </w:r>
      <w:bookmarkEnd w:id="0"/>
    </w:p>
    <w:p w:rsidR="00AA2FCF" w:rsidRPr="00AA2FCF" w:rsidRDefault="00AA2FCF" w:rsidP="00AA2FCF">
      <w:pPr>
        <w:spacing w:after="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loai_1_name"/>
      <w:r w:rsidRPr="00AA2FC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SỬA ĐỔI, BỔ SUNG PHỤ LỤC CỦA THÔNG TƯ SỐ </w:t>
      </w:r>
      <w:bookmarkEnd w:id="1"/>
      <w:r w:rsidRPr="00AA2FCF">
        <w:rPr>
          <w:rFonts w:ascii="Times New Roman" w:eastAsia="Times New Roman" w:hAnsi="Times New Roman" w:cs="Times New Roman"/>
          <w:iCs/>
          <w:sz w:val="28"/>
          <w:szCs w:val="28"/>
        </w:rPr>
        <w:t>05/2018/TT-BXD</w:t>
      </w:r>
      <w:r w:rsidRPr="00AA2FCF">
        <w:rPr>
          <w:rFonts w:ascii="Times New Roman" w:eastAsia="Times New Roman" w:hAnsi="Times New Roman" w:cs="Times New Roman"/>
          <w:sz w:val="28"/>
          <w:szCs w:val="28"/>
        </w:rPr>
        <w:t xml:space="preserve"> NGÀY 29 THÁNG 6 NĂM 2018 CỦA BỘ XÂY DỰNG VỀ HƯỚNG DẪN XUẤT KHẨU KHOÁNG SẢN LÀM VẬT LIỆU XÂY DỰNG</w:t>
      </w:r>
    </w:p>
    <w:p w:rsidR="00AA2FCF" w:rsidRPr="00AA2FCF" w:rsidRDefault="00AA2FCF" w:rsidP="00AA2FCF">
      <w:pPr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Căn cứ Luật Khoáng sản ngày 17 tháng 11 năm 2010;</w:t>
      </w:r>
    </w:p>
    <w:p w:rsidR="00AA2FCF" w:rsidRPr="00AA2FCF" w:rsidRDefault="00AA2FCF" w:rsidP="00AA2FCF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Căn cứ Nghị định số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81/2017/NĐ-CP 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ngày 17 th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á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 7 năm 2017 của Chính ph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ủ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 quy đ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ị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nh chức năn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g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, nhiệm vụ, quy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ề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 hạn và cơ c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ấ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u t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ổ 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chức của Bộ X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â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y dựng;</w:t>
      </w:r>
      <w:bookmarkStart w:id="2" w:name="_GoBack"/>
      <w:bookmarkEnd w:id="2"/>
    </w:p>
    <w:p w:rsidR="00AA2FCF" w:rsidRPr="00AA2FCF" w:rsidRDefault="00AA2FCF" w:rsidP="00AA2FCF">
      <w:pPr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ă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 cứ Nghị định số 24a/2016/NĐ-CP ngày 05 th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á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 4 năm 2016 c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ủ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a Ch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í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nh phủ về qu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ả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 lý vật liệu xây dựng;</w:t>
      </w:r>
    </w:p>
    <w:p w:rsidR="00AA2FCF" w:rsidRPr="00AA2FCF" w:rsidRDefault="00AA2FCF" w:rsidP="00AA2FCF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ă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 cứ Nghị định s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ố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158/2016/NĐ-CP 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ngày 29 tháng 11 năm 2016 c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ủ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a Chính ph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ủ 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quy định chi tiết thi hành một số điều của Luật Kho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á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 sản;</w:t>
      </w:r>
    </w:p>
    <w:p w:rsidR="00AA2FCF" w:rsidRPr="00AA2FCF" w:rsidRDefault="00AA2FCF" w:rsidP="00AA2FCF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Căn cứ Nghị định số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69/2018/NĐ-CP 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ngày 15 th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á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 5 năm 2018 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 Ch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í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nh ph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ủ 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quy định ch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i 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tiết một s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ố 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điều c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ủ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a Luật Quản lý ngoại thương;</w:t>
      </w:r>
    </w:p>
    <w:p w:rsidR="00AA2FCF" w:rsidRPr="00AA2FCF" w:rsidRDefault="00AA2FCF" w:rsidP="00AA2FCF">
      <w:pPr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Theo đề nghị của Vụ trưởng Vụ Vật liệu xây dựng;</w:t>
      </w:r>
    </w:p>
    <w:p w:rsidR="00AA2FCF" w:rsidRPr="00AA2FCF" w:rsidRDefault="00AA2FCF" w:rsidP="00AA2FCF">
      <w:pPr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Bộ trư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ở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 Bộ X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â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y dựng 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b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an hành Thông tư sửa đ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ổ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i, b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ổ 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sung Phụ lục của Thông tư s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ố 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05/20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8/TT-BXD ngày 29 tháng 6 năm 2018 của Bộ Xây dựng về hướng d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ẫ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 xuất kh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ẩ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u khoáng sản làm vật liệu xây dựng.</w:t>
      </w:r>
    </w:p>
    <w:p w:rsidR="00AA2FCF" w:rsidRPr="00AA2FCF" w:rsidRDefault="00AA2FCF" w:rsidP="00AA2FCF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bookmarkStart w:id="3" w:name="dieu_1"/>
      <w:r w:rsidRPr="00AA2F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1.</w:t>
      </w:r>
      <w:bookmarkEnd w:id="3"/>
    </w:p>
    <w:p w:rsidR="00AA2FCF" w:rsidRPr="00AA2FCF" w:rsidRDefault="00AA2FCF" w:rsidP="00AA2FCF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bookmarkStart w:id="4" w:name="dieu_1_name"/>
      <w:r w:rsidRPr="00AA2FC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Sửa đổi, bổ sung Thông tư số </w:t>
      </w:r>
      <w:bookmarkEnd w:id="4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05/2018/TT-BXD </w:t>
      </w:r>
      <w:r w:rsidRPr="00AA2FCF">
        <w:rPr>
          <w:rFonts w:ascii="Times New Roman" w:eastAsia="Times New Roman" w:hAnsi="Times New Roman" w:cs="Times New Roman"/>
          <w:sz w:val="28"/>
          <w:szCs w:val="28"/>
        </w:rPr>
        <w:t>ngày 29 tháng 6 năm 2018 của Bộ Xây dựng về hướng dẫn xuất khẩu khoáng sản làm vật liệu xây dựng:</w:t>
      </w:r>
    </w:p>
    <w:p w:rsidR="00AA2FCF" w:rsidRPr="00AA2FCF" w:rsidRDefault="00AA2FCF" w:rsidP="00AA2FCF">
      <w:pPr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A2FCF">
        <w:rPr>
          <w:rFonts w:ascii="Times New Roman" w:eastAsia="Times New Roman" w:hAnsi="Times New Roman" w:cs="Times New Roman"/>
          <w:sz w:val="28"/>
          <w:szCs w:val="28"/>
          <w:lang w:val="vi-VN"/>
        </w:rPr>
        <w:t>Thay thế Phụ lục I về Danh mục, quy cách và chỉ tiêu kỹ thuật khoáng sản làm vật liệu xây dựng xuất kh</w:t>
      </w:r>
      <w:r w:rsidRPr="00AA2FCF">
        <w:rPr>
          <w:rFonts w:ascii="Times New Roman" w:eastAsia="Times New Roman" w:hAnsi="Times New Roman" w:cs="Times New Roman"/>
          <w:sz w:val="28"/>
          <w:szCs w:val="28"/>
        </w:rPr>
        <w:t>ẩ</w:t>
      </w:r>
      <w:r w:rsidRPr="00AA2FCF">
        <w:rPr>
          <w:rFonts w:ascii="Times New Roman" w:eastAsia="Times New Roman" w:hAnsi="Times New Roman" w:cs="Times New Roman"/>
          <w:sz w:val="28"/>
          <w:szCs w:val="28"/>
          <w:lang w:val="vi-VN"/>
        </w:rPr>
        <w:t>u bằng Phụ lục I về Danh mục, quy cách và chỉ tiêu kỹ thuật khoáng sản làm vật liệu xây dựng xuất kh</w:t>
      </w:r>
      <w:r w:rsidRPr="00AA2FCF">
        <w:rPr>
          <w:rFonts w:ascii="Times New Roman" w:eastAsia="Times New Roman" w:hAnsi="Times New Roman" w:cs="Times New Roman"/>
          <w:sz w:val="28"/>
          <w:szCs w:val="28"/>
        </w:rPr>
        <w:t>ẩ</w:t>
      </w:r>
      <w:r w:rsidRPr="00AA2FCF">
        <w:rPr>
          <w:rFonts w:ascii="Times New Roman" w:eastAsia="Times New Roman" w:hAnsi="Times New Roman" w:cs="Times New Roman"/>
          <w:sz w:val="28"/>
          <w:szCs w:val="28"/>
          <w:lang w:val="vi-VN"/>
        </w:rPr>
        <w:t>u kèm theo Thông tư này.</w:t>
      </w:r>
    </w:p>
    <w:p w:rsidR="00AA2FCF" w:rsidRPr="00AA2FCF" w:rsidRDefault="00AA2FCF" w:rsidP="00AA2FCF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bookmarkStart w:id="5" w:name="dieu_2"/>
      <w:r w:rsidRPr="00AA2F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2. Hiệu lực thi hành</w:t>
      </w:r>
      <w:bookmarkEnd w:id="5"/>
    </w:p>
    <w:p w:rsidR="00AA2FCF" w:rsidRPr="00AA2FCF" w:rsidRDefault="00AA2FCF" w:rsidP="00AA2FCF">
      <w:pPr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A2FCF">
        <w:rPr>
          <w:rFonts w:ascii="Times New Roman" w:eastAsia="Times New Roman" w:hAnsi="Times New Roman" w:cs="Times New Roman"/>
          <w:sz w:val="28"/>
          <w:szCs w:val="28"/>
          <w:lang w:val="vi-VN"/>
        </w:rPr>
        <w:t>Thông tư này có hiệu lực thi hành k</w:t>
      </w:r>
      <w:r w:rsidRPr="00AA2FCF">
        <w:rPr>
          <w:rFonts w:ascii="Times New Roman" w:eastAsia="Times New Roman" w:hAnsi="Times New Roman" w:cs="Times New Roman"/>
          <w:sz w:val="28"/>
          <w:szCs w:val="28"/>
        </w:rPr>
        <w:t>ể </w:t>
      </w:r>
      <w:r w:rsidRPr="00AA2FCF">
        <w:rPr>
          <w:rFonts w:ascii="Times New Roman" w:eastAsia="Times New Roman" w:hAnsi="Times New Roman" w:cs="Times New Roman"/>
          <w:sz w:val="28"/>
          <w:szCs w:val="28"/>
          <w:lang w:val="vi-VN"/>
        </w:rPr>
        <w:t>từ ngày</w:t>
      </w:r>
      <w:r w:rsidRPr="00AA2FCF">
        <w:rPr>
          <w:rFonts w:ascii="Times New Roman" w:eastAsia="Times New Roman" w:hAnsi="Times New Roman" w:cs="Times New Roman"/>
          <w:sz w:val="28"/>
          <w:szCs w:val="28"/>
        </w:rPr>
        <w:t> 01</w:t>
      </w:r>
      <w:r w:rsidRPr="00AA2FCF">
        <w:rPr>
          <w:rFonts w:ascii="Times New Roman" w:eastAsia="Times New Roman" w:hAnsi="Times New Roman" w:cs="Times New Roman"/>
          <w:sz w:val="28"/>
          <w:szCs w:val="28"/>
          <w:lang w:val="vi-VN"/>
        </w:rPr>
        <w:t> tháng </w:t>
      </w:r>
      <w:r w:rsidRPr="00AA2FCF">
        <w:rPr>
          <w:rFonts w:ascii="Times New Roman" w:eastAsia="Times New Roman" w:hAnsi="Times New Roman" w:cs="Times New Roman"/>
          <w:sz w:val="28"/>
          <w:szCs w:val="28"/>
        </w:rPr>
        <w:t>12 </w:t>
      </w:r>
      <w:r w:rsidRPr="00AA2FCF">
        <w:rPr>
          <w:rFonts w:ascii="Times New Roman" w:eastAsia="Times New Roman" w:hAnsi="Times New Roman" w:cs="Times New Roman"/>
          <w:sz w:val="28"/>
          <w:szCs w:val="28"/>
          <w:lang w:val="vi-VN"/>
        </w:rPr>
        <w:t>n</w:t>
      </w:r>
      <w:r w:rsidRPr="00AA2FCF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AA2FCF">
        <w:rPr>
          <w:rFonts w:ascii="Times New Roman" w:eastAsia="Times New Roman" w:hAnsi="Times New Roman" w:cs="Times New Roman"/>
          <w:sz w:val="28"/>
          <w:szCs w:val="28"/>
          <w:lang w:val="vi-VN"/>
        </w:rPr>
        <w:t>m 2019.</w:t>
      </w:r>
    </w:p>
    <w:p w:rsidR="00AA2FCF" w:rsidRPr="00AA2FCF" w:rsidRDefault="00AA2FCF" w:rsidP="00AA2FCF">
      <w:pPr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A2FCF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8"/>
        <w:gridCol w:w="3948"/>
      </w:tblGrid>
      <w:tr w:rsidR="00AA2FCF" w:rsidRPr="00AA2FCF" w:rsidTr="00AA2FCF">
        <w:trPr>
          <w:tblCellSpacing w:w="0" w:type="dxa"/>
        </w:trPr>
        <w:tc>
          <w:tcPr>
            <w:tcW w:w="49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br/>
              <w:t>Nơi nhận:</w:t>
            </w:r>
            <w:r w:rsidRPr="00AA2F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br/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Th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ủ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tư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ớ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 Chính ph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ủ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;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  <w:t>- Các Phó Th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ủ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tướng Chính p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hủ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;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  <w:t>- Văn phòng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Q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u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 hội;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  <w:t>- Văn phòng Ch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ủ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tịch nước;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  <w:t>- Văn phòng Trung ương Đảng;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  <w:t>- Văn phòng Chính phủ;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  <w:t>- Tòa án nhân d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â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 tối cao;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  <w:t>- Viện kiểm sát nhân dân t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i cao;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  <w:t>- Các Bộ, cơ quan ngang Bộ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cơ quan t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uộc Chính ph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ủ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;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  <w:t>- UBND các tỉnh, thành ph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tr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ự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 thuộc Trung ương: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  <w:t>- Cục kiểm tra v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ă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 b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ả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Q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PPL - Bộ Tư pháp;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  <w:t>- Tổng cục H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ả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i quan: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  <w:t>- S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ở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Xây dựng các t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ỉ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nh, thành ph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ố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trực thuộc Trung ương;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  <w:t>- Các Cục, Vụ, Viện, Văn phòng, Thanh tra Bộ Xây dựng;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  <w:t>- Công báo; website Chính ph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ủ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: website Bộ Xây dựng;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  <w:t>- Lưu: VT, PC, Vụ V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XD (05).</w:t>
            </w:r>
          </w:p>
        </w:tc>
        <w:tc>
          <w:tcPr>
            <w:tcW w:w="3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KT. BỘ TRƯỞNG</w:t>
            </w: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THỨ TRƯỞNG</w:t>
            </w: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Nguyễn Văn Sinh</w:t>
            </w:r>
          </w:p>
        </w:tc>
      </w:tr>
    </w:tbl>
    <w:p w:rsidR="00AA2FCF" w:rsidRPr="00AA2FCF" w:rsidRDefault="00AA2FCF" w:rsidP="00AA2FCF">
      <w:pPr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A2FCF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</w:p>
    <w:p w:rsidR="00AA2FCF" w:rsidRPr="00AA2FCF" w:rsidRDefault="00AA2FCF" w:rsidP="00AA2FCF">
      <w:pPr>
        <w:spacing w:after="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6" w:name="chuong_pl_1"/>
      <w:r w:rsidRPr="00AA2F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PHỤ LỤC I</w:t>
      </w:r>
      <w:bookmarkEnd w:id="6"/>
    </w:p>
    <w:p w:rsidR="00AA2FCF" w:rsidRPr="00AA2FCF" w:rsidRDefault="00AA2FCF" w:rsidP="00AA2FCF">
      <w:pPr>
        <w:spacing w:after="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7" w:name="chuong_pl_1_name"/>
      <w:r w:rsidRPr="00AA2FCF">
        <w:rPr>
          <w:rFonts w:ascii="Times New Roman" w:eastAsia="Times New Roman" w:hAnsi="Times New Roman" w:cs="Times New Roman"/>
          <w:color w:val="000000"/>
          <w:sz w:val="28"/>
          <w:szCs w:val="28"/>
        </w:rPr>
        <w:t>DANH MỤC, QUY CÁCH VÀ CHỈ TIÊU KỸ THUẬT KHOÁNG SẢN LÀM VẬT LIỆU XÂY DỰNG XUẤT KHẨU</w:t>
      </w:r>
      <w:bookmarkEnd w:id="7"/>
      <w:r w:rsidRPr="00AA2FCF">
        <w:rPr>
          <w:rFonts w:ascii="Times New Roman" w:eastAsia="Times New Roman" w:hAnsi="Times New Roman" w:cs="Times New Roman"/>
          <w:sz w:val="28"/>
          <w:szCs w:val="28"/>
        </w:rPr>
        <w:br/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(Ban hành kèm theo 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Thông tư số 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0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5/20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9/TT-BXD ngày 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 th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á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 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 năm 2019 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sửa đổi, bổ sung P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hụ 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l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ục của Thông tư số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05/2018/TT-BXD 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ngà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y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 29 tháng 6 n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ăm 20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18 của Bộ Xây dựng về hướng d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ẫ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 xuất kh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ẩ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u </w:t>
      </w:r>
      <w:r w:rsidRPr="00AA2FCF">
        <w:rPr>
          <w:rFonts w:ascii="Times New Roman" w:eastAsia="Times New Roman" w:hAnsi="Times New Roman" w:cs="Times New Roman"/>
          <w:i/>
          <w:iCs/>
          <w:sz w:val="28"/>
          <w:szCs w:val="28"/>
        </w:rPr>
        <w:t>khoáng sản làm vật liệu xây dựng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4416"/>
        <w:gridCol w:w="3274"/>
      </w:tblGrid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Mã HSS</w:t>
            </w:r>
          </w:p>
        </w:tc>
        <w:tc>
          <w:tcPr>
            <w:tcW w:w="2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Danh mục khoáng sản</w:t>
            </w: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Quy cách, ch</w:t>
            </w: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ỉ </w:t>
            </w: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tiêu kỹ thuật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I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Cát trắng silic, cát vàng khuôn đúc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2505.10.00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Cá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t t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rắng si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lic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làm nguyên liệu s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ả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 xuất vật liệu xây dựng hoặc các lĩnh vực khác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Đã qua chế biến (sàng, tuyển, rửa, phân loại cỡ hạt);</w:t>
            </w:r>
          </w:p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Hàm lượng Si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≥ 97 %;</w:t>
            </w:r>
          </w:p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Kích thước c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ỡ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hạt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≤ 1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,0mm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2505.90.00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Cát trắng silic làm khuôn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úc hoặc các lĩnh vực khác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Đã qua chế biến (sàng, tuyển, rửa, phân loại c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ỡ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hạt, bọc nhựa hoặc không bọc nhựa);</w:t>
            </w:r>
          </w:p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Hàm lượng S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iO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≥ 95%;</w:t>
            </w:r>
          </w:p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Kích thước cỡ hạt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≤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2,5mm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2505.90.00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90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Cát vàng hoặc cát nghiền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ừ sỏi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cuội, quac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it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cát kết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thạch anh... làm khuôn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úc hoặc các lĩnh vực khác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ã qua chế biến (sàng, tuyển, rửa, phân loại c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ỡ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hạt, bọc nhựa hoặc không bọc nhựa);</w:t>
            </w:r>
          </w:p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Hàm lượng Si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≥ 85 %;</w:t>
            </w:r>
          </w:p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Kích thước c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ỡ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hạt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≤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2,5mm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2505.10.00.10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Bột cát thạch anh mịn hoặc siêu mịn (ch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ế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biến từ cát trắng silic,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thạch anh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qua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zit) làm nguyên liệu sản xuất vật liệu xây dựng hoặc các lĩnh vực khác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Đã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qua chế biến (sàng, tuyển, rửa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sấy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nghiền, phân loại c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ỡ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hạt);</w:t>
            </w:r>
          </w:p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Hàm lượng Si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≥ 97 %;</w:t>
            </w:r>
          </w:p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Kích thước c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ỡ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hạt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≤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96 pm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Đá ốp lát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2515.12.20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Đá ốp lát có nguồn gốc từ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hoa (marble),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vôi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, 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ược gia công c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ắ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 b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ằ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 cưa hoặc cách khác thành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tấ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ộ dày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≤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300 mm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2516.12.20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ốp lát có nguồn gốc từ đá granit, gabro, bazan và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khác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ược gia công cắt b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ằ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 cưa hoặc cách khác thành tấm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ộ dày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≤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300 mm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2516.20.20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Đá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p lát có nguồn gốc từ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cát kết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sa thạch được gia công cắt b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ằ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 cưa hoặc cách khác thành tấm.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ộ dày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≤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300 mm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2506.10.00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ốp lát có nguồn gốc từ đá thạch anh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ược gia công c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ắ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 b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ằ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 cưa hoặc cách khác thành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ấm.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ộ dày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≤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300 mm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2506.20.00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ốp lát c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ó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nguồn gốc từ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qua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zit (quartzite)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ược gia công c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ắ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 b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ằ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 cưa hoặc cách khác thành tấm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Độ dày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≤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300 mm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2514.00.00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Đá phiến làm vật liệu ốp, lát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lợp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ược gia công c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ắ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 b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ằ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 cưa hoặc cách khác thành tấm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Độ dày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≤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50 tnm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6801.00.00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Các loại đá lát lề đường bằng đá tự nhiên (trừ đá phiến)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Độ dày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≤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300 mm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6802.21.00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Đá ốp lát có nguồn gốc từ đá hoa (marble)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đã 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ược gia công thành sản phẩm dạng tấm (có bề mặt ph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ẳ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 v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à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nhẵn)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Độ dày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≤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300 mm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6802.23.00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Đá ốp lát có nguồn gốc từ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granit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ã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ược gia công thành s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ả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 phẩm dạng t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ấ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 (có bề mặt phẳng và nhãn)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ộ dày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≤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300 mm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6802.29.10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Đá ốp lát có nguồn gốc từ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vôi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ã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ược gia công thành sản ph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ẩ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 dạng tấm (có bề mặt ph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ẳ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 và nhẵn)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Độ dày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≤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300 mm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6802.29.90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Đá ốp lát có nguồn gốc từ đá tự nhiên khác được gia công thành sản phẩm dạng tấm (có bề mặt phẳng và nhẵn)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Độ dày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≤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300 mm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III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Đá khối (block)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2515.20.00.10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Đá khối (block) có nguồn gốc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ừ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hoa tr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ắ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ược khai thác, cưa c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ắ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 thành s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ả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 phẩm c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ó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các mặt ph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ẳ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 dạng khối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Thể tích ≥ 0,5 m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2515.12.10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khối (block) c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ó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nguồn gốc từ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hoa,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vôi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dolomit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ược khai thác, cưa cắt thành sản phẩm có các mặt ph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ẳ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 dạng khối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Thể tích ≥ 0,5 m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2516.12.10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khối (block) có nguồn gốc từ đá granit, gabro, bazan,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cát kết (sa thạch) và đá khác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ược khai thác, cưa c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ắ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 thành sản phẩm có các mặt phẳng dạng khối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Thể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ích ≥ 0,5 m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3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IV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á mỹ nghệ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6802.91.10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Đá mỹ nghệ có nguồn gốc từ đá hoa (marble)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ã được gia công, chế tác thành sản phẩm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6802.92.00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mỹ ngh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ệ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có nguồn gốc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ừ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vôi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Đã 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ược gia công, chế tác thành sản phẩm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6802.93.00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mỹ nghệ có nguồn gốc từ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granit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ã được gia công, chế tác thành sản phẩm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6802.99.00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Đá mỹ nghệ có nguồn gốc từ các loại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tự nhiên khác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ã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ược gia công, ch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ế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tác thành sản phẩm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6802.10.00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Đá lát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, 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cục,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hạt, đá dăm, bột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và các sản phẩm tương tự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Đã được gia công, chế biến thành sản phẩm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V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Đá xây dựng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</w:t>
            </w: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-a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Sử dụng làm cấp phối bê tông, rải đường giao thông hoặc các mục đích khác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2517.10.00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xây dựng có nguồn gốc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ừ cuội, sỏi,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ba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an.... dùng làm cấp phối bê t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ô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ng, rải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ường giao thông, mục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ích khác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ã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ược gia công dập, nghiền, s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 có kích thước c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ỡ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hạt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≤ 100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mm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2517.49.00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xây dựng c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ó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nguồn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ốc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ừ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vôi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, 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grani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t,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gabro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, 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hoa (marble),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cát k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ết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 (sa thạch), thạch anh và đá khác dùng làm cấp phối bê tông, rải dường giao thông, mục đích khác.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Đã 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ược gia công dập, nghiền, sàng có kích thước c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ỡ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hạt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≤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100 mm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</w:t>
            </w: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-b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Sử dụng đ</w:t>
            </w:r>
            <w:r w:rsidRPr="00AA2F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ể </w:t>
            </w:r>
            <w:r w:rsidRPr="00AA2F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kè bờ, xây móng, xây tường, </w:t>
            </w:r>
            <w:r w:rsidRPr="00AA2F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lá</w:t>
            </w:r>
            <w:r w:rsidRPr="00AA2F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t vỉa hè, </w:t>
            </w:r>
            <w:r w:rsidRPr="00AA2F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l</w:t>
            </w:r>
            <w:r w:rsidRPr="00AA2F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òng </w:t>
            </w:r>
            <w:r w:rsidRPr="00AA2F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ường hoặc các mục đích khác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2515.11.00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xây dựng khác (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hộc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, 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ch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ẻ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,...) có nguồn gốc từ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hoa (marble),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hoa tr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ắ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ng,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vôi dùng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ể kè b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ờ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 xây móng, xây tường, lát vỉa hè, lòng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ường, mục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ích khác.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Đã 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ược gia công,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đẽ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o, c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ắ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t, gọt thành sản phẩm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2516.11.00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Đá xây dựng khác (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hộc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, 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chẻ....) có nguồn gốc từ đá grani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t,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gabro, bazan và đá khác dùng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ể kè bờ, xây móng, xây tường, lát vỉa hè, lòng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ường, mục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ích khác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Đã 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ược gia công, đẽo, cắt, gọt thành sản phẩm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2516.20.10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Đá xây dựng khác (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hộc, đá chẻ,...) có nguồn gốc từ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cát kết dùng để kè bờ, xây móng, xây tường, lát vỉa h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è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 lòng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ường, mục đích khác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Đã được gia công, đẽo, cắt, gọt thành sản phẩm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2516.90.00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khác dùng làm tượng dài hoặc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x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â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y dựng, mục đích khác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Đã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ược gia công, đẽo, c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ắ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t, gọt thành sản phẩm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2515.20.00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khối có thể tích nhỏ hơn 0,5 m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có nguồn gốc từ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hoa tr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ắ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Đã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ược gia công,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ẽo, cắt, gọt thành sản phẩm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V</w:t>
            </w: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Khoáng sản khác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2518.10.00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Dolomit làm nguyên liệu sản xuất vật liệu xây dựng hoặc các lĩnh vực khác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Hàm lượng Mg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O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≥ 18 %;</w:t>
            </w:r>
          </w:p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Kích thước cỡ hạt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≤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100 mm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2521.00.00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Đá vôi d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ùng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làm nguyên liệu sản xuất vôi, xi m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ă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 hoặc các lĩnh vực khác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Kích thước c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ỡ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hạt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≤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100 mm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2507.00.00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Cao lanh làm n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uy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ê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 liệu s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ả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 xuất vật liệu xây dựng hoặc các lĩnh vực khác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A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vi-VN"/>
              </w:rPr>
              <w:t>3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≥ 28%, F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vi-VN"/>
              </w:rPr>
              <w:t>3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 ≤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1 %;</w:t>
            </w:r>
          </w:p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Kích thước c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ỡ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hạt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≤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0,2 mm.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2507.00.00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Cao lanh pyrophyl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ite làm nguyên liệu sản xuất v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ậ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 liệu xây dựng hoặc các lĩnh vực khác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Kích thước cỡ hạt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≤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100 mm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2508.30.00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ấ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t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sét chịu lửa làm nguyên liệu sản xuất vật liệu xây dựng hoặc các lĩnh vực khác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A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vi-VN"/>
              </w:rPr>
              <w:t>3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≥ 23 % ;</w:t>
            </w:r>
          </w:p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Kích thước cỡ hạt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≤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0,2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mm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</w:tr>
      <w:tr w:rsidR="00AA2FCF" w:rsidRPr="00AA2FCF" w:rsidTr="00AA2FCF">
        <w:trPr>
          <w:tblCellSpacing w:w="0" w:type="dxa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2529.10.00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Tràng thạch (feldspar) làm nguyên liệu sản xuất vật liệu xây dựng hoặc các lĩnh vực khác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Hàm lượng (K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+Na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 ≥ 7%;</w:t>
            </w:r>
          </w:p>
          <w:p w:rsidR="00AA2FCF" w:rsidRPr="00AA2FCF" w:rsidRDefault="00AA2FCF" w:rsidP="00AA2FC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Kích thước c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ỡ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hạt 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</w:rPr>
              <w:t>≤</w:t>
            </w:r>
            <w:r w:rsidRPr="00AA2FC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100 mm</w:t>
            </w:r>
          </w:p>
        </w:tc>
      </w:tr>
    </w:tbl>
    <w:p w:rsidR="00AA2FCF" w:rsidRPr="00AA2FCF" w:rsidRDefault="00AA2FCF" w:rsidP="00AA2FCF">
      <w:pPr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A2FCF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</w:p>
    <w:p w:rsidR="00E93B8C" w:rsidRPr="00AA2FCF" w:rsidRDefault="00E93B8C">
      <w:pPr>
        <w:rPr>
          <w:rFonts w:ascii="Times New Roman" w:hAnsi="Times New Roman" w:cs="Times New Roman"/>
          <w:sz w:val="28"/>
          <w:szCs w:val="28"/>
        </w:rPr>
      </w:pPr>
    </w:p>
    <w:sectPr w:rsidR="00E93B8C" w:rsidRPr="00AA2FC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DE5" w:rsidRDefault="004B4DE5" w:rsidP="00AA2FCF">
      <w:pPr>
        <w:spacing w:after="0" w:line="240" w:lineRule="auto"/>
      </w:pPr>
      <w:r>
        <w:separator/>
      </w:r>
    </w:p>
  </w:endnote>
  <w:endnote w:type="continuationSeparator" w:id="0">
    <w:p w:rsidR="004B4DE5" w:rsidRDefault="004B4DE5" w:rsidP="00AA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FCF" w:rsidRPr="00A74D2B" w:rsidRDefault="00AA2FCF" w:rsidP="00AA2FCF">
    <w:pPr>
      <w:pStyle w:val="Header"/>
      <w:tabs>
        <w:tab w:val="left" w:pos="2850"/>
      </w:tabs>
      <w:rPr>
        <w:rFonts w:ascii="Arial" w:hAnsi="Arial" w:cs="Arial"/>
        <w:b/>
        <w:color w:val="0070C0"/>
      </w:rPr>
    </w:pPr>
    <w:r>
      <w:rPr>
        <w:rFonts w:ascii="Arial" w:hAnsi="Arial" w:cs="Arial"/>
        <w:b/>
        <w:color w:val="0070C0"/>
      </w:rPr>
      <w:t xml:space="preserve">                                                    </w:t>
    </w:r>
    <w:r w:rsidRPr="00A74D2B">
      <w:rPr>
        <w:rFonts w:ascii="Arial" w:hAnsi="Arial" w:cs="Arial"/>
        <w:b/>
        <w:color w:val="0070C0"/>
      </w:rPr>
      <w:t>Công ty Luật TNHH Sao Việt</w:t>
    </w:r>
  </w:p>
  <w:p w:rsidR="00AA2FCF" w:rsidRPr="00A74D2B" w:rsidRDefault="00AA2FCF" w:rsidP="00AA2FCF">
    <w:pPr>
      <w:pStyle w:val="Header"/>
      <w:jc w:val="center"/>
      <w:rPr>
        <w:rFonts w:ascii="Arial" w:hAnsi="Arial" w:cs="Arial"/>
        <w:i/>
        <w:color w:val="0070C0"/>
      </w:rPr>
    </w:pPr>
    <w:r w:rsidRPr="00A74D2B">
      <w:rPr>
        <w:rFonts w:ascii="Arial" w:hAnsi="Arial" w:cs="Arial"/>
        <w:i/>
        <w:color w:val="0070C0"/>
      </w:rPr>
      <w:t>“Sự bảo hộ hoàn hảo trong mọi quan hệ pháp luật”</w:t>
    </w:r>
  </w:p>
  <w:p w:rsidR="00AA2FCF" w:rsidRPr="00A74D2B" w:rsidRDefault="00AA2FCF" w:rsidP="00AA2FCF">
    <w:pPr>
      <w:pStyle w:val="Header"/>
      <w:jc w:val="center"/>
      <w:rPr>
        <w:rFonts w:ascii="Arial" w:hAnsi="Arial" w:cs="Arial"/>
        <w:color w:val="FF0000"/>
      </w:rPr>
    </w:pPr>
    <w:r w:rsidRPr="00A74D2B">
      <w:rPr>
        <w:rFonts w:ascii="Arial" w:hAnsi="Arial" w:cs="Arial"/>
        <w:color w:val="FF0000"/>
      </w:rPr>
      <w:t>Web: saovietlaw.com/ Tổng đài 1900 6243</w:t>
    </w:r>
  </w:p>
  <w:p w:rsidR="00AA2FCF" w:rsidRPr="00A74D2B" w:rsidRDefault="00AA2FCF" w:rsidP="00AA2FCF">
    <w:pPr>
      <w:tabs>
        <w:tab w:val="left" w:pos="3780"/>
        <w:tab w:val="center" w:pos="4680"/>
        <w:tab w:val="left" w:pos="5115"/>
        <w:tab w:val="left" w:pos="5610"/>
        <w:tab w:val="left" w:pos="6180"/>
        <w:tab w:val="left" w:pos="6780"/>
      </w:tabs>
      <w:rPr>
        <w:rFonts w:ascii="Arial" w:hAnsi="Arial" w:cs="Arial"/>
        <w:sz w:val="24"/>
        <w:szCs w:val="24"/>
      </w:rPr>
    </w:pPr>
    <w:r w:rsidRPr="00A74D2B">
      <w:rPr>
        <w:rFonts w:ascii="Arial" w:hAnsi="Arial" w:cs="Arial"/>
        <w:sz w:val="24"/>
        <w:szCs w:val="24"/>
      </w:rPr>
      <w:t xml:space="preserve">                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</w:p>
  <w:p w:rsidR="00AA2FCF" w:rsidRDefault="00AA2FCF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AA2FCF" w:rsidRDefault="00AA2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DE5" w:rsidRDefault="004B4DE5" w:rsidP="00AA2FCF">
      <w:pPr>
        <w:spacing w:after="0" w:line="240" w:lineRule="auto"/>
      </w:pPr>
      <w:r>
        <w:separator/>
      </w:r>
    </w:p>
  </w:footnote>
  <w:footnote w:type="continuationSeparator" w:id="0">
    <w:p w:rsidR="004B4DE5" w:rsidRDefault="004B4DE5" w:rsidP="00AA2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CF"/>
    <w:rsid w:val="004B4DE5"/>
    <w:rsid w:val="00AA2FCF"/>
    <w:rsid w:val="00E9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0760D-503C-42D4-BE8A-1F9A3805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2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A2FC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2FC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2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FCF"/>
  </w:style>
  <w:style w:type="paragraph" w:styleId="Footer">
    <w:name w:val="footer"/>
    <w:basedOn w:val="Normal"/>
    <w:link w:val="FooterChar"/>
    <w:uiPriority w:val="99"/>
    <w:unhideWhenUsed/>
    <w:rsid w:val="00AA2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963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4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0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phuongcloudit.com</Company>
  <LinksUpToDate>false</LinksUpToDate>
  <CharactersWithSpaces>8348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letan2 letan2</dc:creator>
  <cp:keywords/>
  <dc:description/>
  <cp:lastModifiedBy>letan2 letan2</cp:lastModifiedBy>
  <cp:revision>1</cp:revision>
  <dcterms:created xsi:type="dcterms:W3CDTF">2019-10-24T07:19:00Z</dcterms:created>
  <dcterms:modified xsi:type="dcterms:W3CDTF">2019-10-24T07:22:00Z</dcterms:modified>
</cp:coreProperties>
</file>